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B" w:rsidRPr="00C5688B" w:rsidRDefault="009C79D0" w:rsidP="00C5688B">
      <w:pPr>
        <w:jc w:val="center"/>
        <w:rPr>
          <w:b/>
          <w:sz w:val="32"/>
        </w:rPr>
      </w:pPr>
      <w:r>
        <w:rPr>
          <w:b/>
          <w:sz w:val="32"/>
        </w:rPr>
        <w:t>Comparativo entre la Iniciativa Ciudadana y la de la Conagua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3563"/>
        <w:gridCol w:w="3540"/>
      </w:tblGrid>
      <w:tr w:rsidR="00C5688B" w:rsidRPr="00662436" w:rsidTr="009C79D0">
        <w:trPr>
          <w:tblHeader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C5688B" w:rsidRPr="00E14852" w:rsidRDefault="00C5688B" w:rsidP="00703A74">
            <w:pPr>
              <w:spacing w:before="120"/>
              <w:ind w:left="170" w:hanging="17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Tema</w:t>
            </w:r>
          </w:p>
        </w:tc>
        <w:tc>
          <w:tcPr>
            <w:tcW w:w="3563" w:type="dxa"/>
            <w:tcBorders>
              <w:bottom w:val="single" w:sz="4" w:space="0" w:color="000000" w:themeColor="text1"/>
            </w:tcBorders>
          </w:tcPr>
          <w:p w:rsidR="00C5688B" w:rsidRDefault="00C5688B" w:rsidP="007D70C4">
            <w:pPr>
              <w:ind w:left="170" w:hanging="17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5688B" w:rsidRDefault="00C5688B" w:rsidP="007D70C4">
            <w:pPr>
              <w:ind w:left="170" w:hanging="170"/>
              <w:jc w:val="center"/>
              <w:rPr>
                <w:rFonts w:ascii="Arial" w:hAnsi="Arial" w:cs="Arial"/>
                <w:b/>
                <w:szCs w:val="20"/>
              </w:rPr>
            </w:pPr>
            <w:r w:rsidRPr="00E14852">
              <w:rPr>
                <w:rFonts w:ascii="Arial" w:hAnsi="Arial" w:cs="Arial"/>
                <w:b/>
                <w:szCs w:val="20"/>
              </w:rPr>
              <w:t xml:space="preserve">LGA Ciudadana </w:t>
            </w:r>
          </w:p>
          <w:p w:rsidR="00C5688B" w:rsidRPr="00E14852" w:rsidRDefault="00C5688B" w:rsidP="007D70C4">
            <w:pPr>
              <w:ind w:left="170" w:hanging="170"/>
              <w:jc w:val="center"/>
              <w:rPr>
                <w:rFonts w:ascii="Arial" w:hAnsi="Arial" w:cs="Arial"/>
                <w:b/>
                <w:szCs w:val="20"/>
              </w:rPr>
            </w:pPr>
            <w:r w:rsidRPr="007A4609">
              <w:rPr>
                <w:rFonts w:ascii="Arial" w:hAnsi="Arial" w:cs="Arial"/>
                <w:i/>
                <w:sz w:val="18"/>
                <w:szCs w:val="20"/>
              </w:rPr>
              <w:t>(Se derogaría la LAN)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</w:tcPr>
          <w:p w:rsidR="00C5688B" w:rsidRPr="007A4609" w:rsidRDefault="00C5688B" w:rsidP="00703A74">
            <w:pPr>
              <w:spacing w:before="120"/>
              <w:ind w:left="170" w:hanging="17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Pr="007A4609">
              <w:rPr>
                <w:rFonts w:ascii="Arial" w:hAnsi="Arial" w:cs="Arial"/>
                <w:b/>
                <w:szCs w:val="20"/>
              </w:rPr>
              <w:t>ropuesta Korenfeld</w:t>
            </w:r>
            <w:r>
              <w:rPr>
                <w:rFonts w:ascii="Arial" w:hAnsi="Arial" w:cs="Arial"/>
                <w:b/>
                <w:szCs w:val="20"/>
              </w:rPr>
              <w:t>/Conagua</w:t>
            </w:r>
            <w:r w:rsidRPr="007A460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C5688B" w:rsidRPr="00E14852" w:rsidRDefault="00C5688B" w:rsidP="00703A74">
            <w:pPr>
              <w:spacing w:before="120"/>
              <w:ind w:left="170" w:hanging="170"/>
              <w:jc w:val="center"/>
              <w:rPr>
                <w:rFonts w:ascii="Arial" w:hAnsi="Arial" w:cs="Arial"/>
                <w:i/>
                <w:szCs w:val="20"/>
              </w:rPr>
            </w:pPr>
            <w:r w:rsidRPr="007A4609">
              <w:rPr>
                <w:rFonts w:ascii="Arial" w:hAnsi="Arial" w:cs="Arial"/>
                <w:b/>
                <w:sz w:val="18"/>
                <w:szCs w:val="20"/>
              </w:rPr>
              <w:t xml:space="preserve">LAN + fracturación hidráulica + LGA-K </w:t>
            </w:r>
          </w:p>
        </w:tc>
      </w:tr>
      <w:tr w:rsidR="00C5688B" w:rsidRPr="00662436" w:rsidTr="009C79D0">
        <w:trPr>
          <w:trHeight w:val="251"/>
        </w:trPr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Pertenencia de las aguas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Nación.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2D702C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Estado.</w:t>
            </w:r>
          </w:p>
        </w:tc>
      </w:tr>
      <w:tr w:rsidR="00C5688B" w:rsidRPr="00662436" w:rsidTr="009C79D0">
        <w:trPr>
          <w:trHeight w:val="1410"/>
        </w:trPr>
        <w:tc>
          <w:tcPr>
            <w:tcW w:w="1951" w:type="dxa"/>
            <w:shd w:val="clear" w:color="auto" w:fill="auto"/>
          </w:tcPr>
          <w:p w:rsidR="00C5688B" w:rsidRDefault="00C5688B" w:rsidP="002D702C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tiene derecho al agua</w:t>
            </w:r>
          </w:p>
        </w:tc>
        <w:tc>
          <w:tcPr>
            <w:tcW w:w="3563" w:type="dxa"/>
            <w:shd w:val="clear" w:color="auto" w:fill="auto"/>
          </w:tcPr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actuales y futuras generaciones, y por lo tanto, la naturaleza en primer lugar.  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sectores social y privado</w:t>
            </w:r>
          </w:p>
          <w:p w:rsidR="00C5688B" w:rsidRPr="0049128B" w:rsidRDefault="00C5688B" w:rsidP="002D702C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“derecho humano al agua” se</w:t>
            </w:r>
            <w:r w:rsidRPr="0049128B">
              <w:rPr>
                <w:rFonts w:ascii="Arial" w:hAnsi="Arial" w:cs="Arial"/>
                <w:sz w:val="20"/>
                <w:szCs w:val="20"/>
              </w:rPr>
              <w:t xml:space="preserve"> limita</w:t>
            </w:r>
            <w:r>
              <w:rPr>
                <w:rFonts w:ascii="Arial" w:hAnsi="Arial" w:cs="Arial"/>
                <w:sz w:val="20"/>
                <w:szCs w:val="20"/>
              </w:rPr>
              <w:t>ría</w:t>
            </w:r>
            <w:r w:rsidRPr="0049128B">
              <w:rPr>
                <w:rFonts w:ascii="Arial" w:hAnsi="Arial" w:cs="Arial"/>
                <w:sz w:val="20"/>
                <w:szCs w:val="20"/>
              </w:rPr>
              <w:t xml:space="preserve"> por razones de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49128B">
              <w:rPr>
                <w:rFonts w:ascii="Arial" w:hAnsi="Arial" w:cs="Arial"/>
                <w:sz w:val="20"/>
                <w:szCs w:val="20"/>
              </w:rPr>
              <w:t>interés social, orden público o seguridad nacional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4912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C5688B" w:rsidRPr="00662436" w:rsidTr="009C79D0">
        <w:trPr>
          <w:trHeight w:val="1118"/>
        </w:trPr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decisiones sobre el agua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Regirían los Planes Rectores vinculantes, consensados por los Consejos de Cuenca 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desde lo local hasta </w:t>
            </w:r>
            <w:r>
              <w:rPr>
                <w:rFonts w:ascii="Arial" w:hAnsi="Arial" w:cs="Arial"/>
                <w:sz w:val="20"/>
                <w:szCs w:val="20"/>
              </w:rPr>
              <w:t>el nivel de cuenca, en torno a metas nacionales</w:t>
            </w:r>
            <w:r w:rsidRPr="00662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5688B" w:rsidRPr="00662436" w:rsidRDefault="00C5688B" w:rsidP="002D702C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Director General </w:t>
            </w:r>
            <w:r>
              <w:rPr>
                <w:rFonts w:ascii="Arial" w:hAnsi="Arial" w:cs="Arial"/>
                <w:sz w:val="20"/>
                <w:szCs w:val="20"/>
              </w:rPr>
              <w:t>de Conagua sería transexenal, inamovible, con posible renombramiento.</w:t>
            </w:r>
          </w:p>
        </w:tc>
      </w:tr>
      <w:tr w:rsidR="00C5688B" w:rsidRPr="00662436" w:rsidTr="009C79D0">
        <w:trPr>
          <w:trHeight w:val="1410"/>
        </w:trPr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¿De dónde vendría el agua?</w:t>
            </w:r>
          </w:p>
        </w:tc>
        <w:tc>
          <w:tcPr>
            <w:tcW w:w="3563" w:type="dxa"/>
            <w:shd w:val="clear" w:color="auto" w:fill="auto"/>
          </w:tcPr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restaurarían las cuencas y </w:t>
            </w:r>
            <w:r w:rsidRPr="00662436">
              <w:rPr>
                <w:rFonts w:ascii="Arial" w:hAnsi="Arial" w:cs="Arial"/>
                <w:sz w:val="20"/>
                <w:szCs w:val="20"/>
              </w:rPr>
              <w:t>flujos subterráneos</w:t>
            </w:r>
            <w:r>
              <w:rPr>
                <w:rFonts w:ascii="Arial" w:hAnsi="Arial" w:cs="Arial"/>
                <w:sz w:val="20"/>
                <w:szCs w:val="20"/>
              </w:rPr>
              <w:t xml:space="preserve"> a través de cambios en patrones de consumo, de producción y de urbanización, junto con obras públicas y comunitarias para máximo aprovechamiento de aguas pluviales y residuales.</w:t>
            </w:r>
          </w:p>
        </w:tc>
        <w:tc>
          <w:tcPr>
            <w:tcW w:w="3540" w:type="dxa"/>
            <w:shd w:val="clear" w:color="auto" w:fill="auto"/>
          </w:tcPr>
          <w:p w:rsidR="00C5688B" w:rsidRPr="00662436" w:rsidRDefault="00C5688B" w:rsidP="00FA1797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Enormes proyectos de infraestructura </w:t>
            </w:r>
            <w:r w:rsidRPr="00662436">
              <w:rPr>
                <w:rFonts w:ascii="Arial" w:hAnsi="Arial" w:cs="Arial"/>
                <w:sz w:val="20"/>
                <w:szCs w:val="20"/>
              </w:rPr>
              <w:t>hidráu</w:t>
            </w:r>
            <w:r>
              <w:rPr>
                <w:rFonts w:ascii="Arial" w:hAnsi="Arial" w:cs="Arial"/>
                <w:sz w:val="20"/>
                <w:szCs w:val="20"/>
              </w:rPr>
              <w:t xml:space="preserve">lica concesionados (presas, 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trasvases, </w:t>
            </w:r>
            <w:r>
              <w:rPr>
                <w:rFonts w:ascii="Arial" w:hAnsi="Arial" w:cs="Arial"/>
                <w:sz w:val="20"/>
                <w:szCs w:val="20"/>
              </w:rPr>
              <w:t xml:space="preserve">pozos ultraprofundos, </w:t>
            </w:r>
            <w:r w:rsidRPr="00662436">
              <w:rPr>
                <w:rFonts w:ascii="Arial" w:hAnsi="Arial" w:cs="Arial"/>
                <w:sz w:val="20"/>
                <w:szCs w:val="20"/>
              </w:rPr>
              <w:t>desalinizadore</w:t>
            </w:r>
            <w:r>
              <w:rPr>
                <w:rFonts w:ascii="Arial" w:hAnsi="Arial" w:cs="Arial"/>
                <w:sz w:val="20"/>
                <w:szCs w:val="20"/>
              </w:rPr>
              <w:t>s, tratadores) en torno a grandes y siempre crecientes ciudades. Las aguas pluviales tendrían que ser desalojadas “</w:t>
            </w:r>
            <w:r w:rsidRPr="00662436">
              <w:rPr>
                <w:sz w:val="20"/>
                <w:szCs w:val="20"/>
              </w:rPr>
              <w:t>de manera inmediata, permanente, continuada y sin obstrucciones</w:t>
            </w:r>
            <w:r>
              <w:rPr>
                <w:sz w:val="20"/>
                <w:szCs w:val="20"/>
              </w:rPr>
              <w:t>”.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de concesiones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cada cuenca, ciudadanos especialistas, usuarios y afectados por la sobreexplotación determinarían el volumen anualmente aprovechable, el cual se reduciría anualmente hasta llegar al equilibrio (en 15 años). </w:t>
            </w:r>
          </w:p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 estos límites, el Consejo de Cuenca determinaría: 1. Dotación por habitante-día; 2. Volumen para </w:t>
            </w:r>
            <w:r w:rsidRPr="00662436">
              <w:rPr>
                <w:rFonts w:ascii="Arial" w:hAnsi="Arial" w:cs="Arial"/>
                <w:sz w:val="20"/>
                <w:szCs w:val="20"/>
              </w:rPr>
              <w:t>soberanía alimentaria (agricultores familiares diversificados)</w:t>
            </w:r>
            <w:r>
              <w:rPr>
                <w:rFonts w:ascii="Arial" w:hAnsi="Arial" w:cs="Arial"/>
                <w:sz w:val="20"/>
                <w:szCs w:val="20"/>
              </w:rPr>
              <w:t>. 3. Volumen concesionable para otros usos.</w:t>
            </w:r>
          </w:p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conservaría el actual sistema de concesiones de la LAN </w:t>
            </w:r>
            <w:r w:rsidRPr="00EE710B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causa de</w:t>
            </w:r>
            <w:r w:rsidRPr="00EE710B">
              <w:rPr>
                <w:rFonts w:ascii="Arial" w:hAnsi="Arial" w:cs="Arial"/>
                <w:sz w:val="18"/>
                <w:szCs w:val="20"/>
              </w:rPr>
              <w:t xml:space="preserve"> la grave </w:t>
            </w:r>
            <w:r>
              <w:rPr>
                <w:rFonts w:ascii="Arial" w:hAnsi="Arial" w:cs="Arial"/>
                <w:sz w:val="18"/>
                <w:szCs w:val="20"/>
              </w:rPr>
              <w:t>sobre</w:t>
            </w:r>
            <w:r w:rsidRPr="00EE710B">
              <w:rPr>
                <w:rFonts w:ascii="Arial" w:hAnsi="Arial" w:cs="Arial"/>
                <w:sz w:val="18"/>
                <w:szCs w:val="20"/>
              </w:rPr>
              <w:t>explotación y acaparamiento/marginación hídrica</w:t>
            </w:r>
            <w:r>
              <w:rPr>
                <w:rFonts w:ascii="Arial" w:hAnsi="Arial" w:cs="Arial"/>
                <w:sz w:val="18"/>
                <w:szCs w:val="20"/>
              </w:rPr>
              <w:t xml:space="preserve"> actual</w:t>
            </w:r>
            <w:r w:rsidRPr="00EE710B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 xml:space="preserve"> en el cual el Ejecutivo Federal </w:t>
            </w:r>
            <w:r>
              <w:rPr>
                <w:rFonts w:ascii="Arial" w:hAnsi="Arial" w:cs="Arial"/>
                <w:sz w:val="20"/>
                <w:szCs w:val="20"/>
              </w:rPr>
              <w:t xml:space="preserve">o la Conagua otorga volúmenes arbitrarios sin revisión pública. Las concesiones tienen una duración de 20 a 30 años, y son libremente transferibles. El Banco del Agua facilita el traspaso de concesiones de titulares vulnerables a solicitantes de mayor peso (inmobiliarias, mineras, industrias). </w:t>
            </w:r>
          </w:p>
          <w:p w:rsidR="00C5688B" w:rsidRPr="00662436" w:rsidRDefault="00C5688B" w:rsidP="00FA1797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expandiría la LAN para permitir el concesionamiento de agua de trasvases, de aguas marinas para desalinizadores, y de aguas nacionales para “fracking” y geotermia.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¿Cómo corregir el sobreconcesionamiento al uso agrícola, sin sacrificar la soberanía y seguridad alimentaria?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Comité en cada cuenca, compuesto por especialistas en riego y agroecología, usuarios y consumidores, elaborarían plan para agricultura no contaminante, con productos de calidad para el mercado interno. </w:t>
            </w:r>
          </w:p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Federación sería responsable por mantener el sistema primario de distribución de agua para uso agrícola; pérdidas disminuirían acceso al agua por parte de usuarios agrícolas.</w:t>
            </w:r>
          </w:p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priorizaría el uso agrícola de la “ferti-agua” generada por plantas de tratamiento de aguas domésticas.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seguiría dedicando la mayor parte de las aguas concesionadas (77%), principalmente a grandes usuarios agrícolas en zonas áridas en el norte, vía sobreexplotación y presas, sin cobrar el agua utilizada. </w:t>
            </w:r>
          </w:p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seguiría perdiendo 60% del agua para uso agrícola antes de llegar a la parcela.</w:t>
            </w:r>
          </w:p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8B" w:rsidRPr="00662436" w:rsidTr="009C79D0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Mecanismo para garantizar agua y saneamiento a áreas sin servicio</w:t>
            </w:r>
          </w:p>
        </w:tc>
        <w:tc>
          <w:tcPr>
            <w:tcW w:w="356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Fondo Nacional para el Derecho Humano al Agua y Saneamiento dirigiría recursos directamente a poblaciones sin acceso para proyectos autogestivos, </w:t>
            </w:r>
          </w:p>
        </w:tc>
        <w:tc>
          <w:tcPr>
            <w:tcW w:w="35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Subsidios a organismos operadores.</w:t>
            </w:r>
          </w:p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8B" w:rsidRPr="00662436" w:rsidTr="009C79D0">
        <w:trPr>
          <w:trHeight w:val="2943"/>
        </w:trPr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del agua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erecho Humano al Agua </w:t>
            </w:r>
            <w:r>
              <w:rPr>
                <w:rFonts w:ascii="Arial" w:hAnsi="Arial" w:cs="Arial"/>
                <w:sz w:val="20"/>
                <w:szCs w:val="20"/>
              </w:rPr>
              <w:t xml:space="preserve">sería 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prioritario para una política </w:t>
            </w:r>
            <w:r>
              <w:rPr>
                <w:rFonts w:ascii="Arial" w:hAnsi="Arial" w:cs="Arial"/>
                <w:sz w:val="20"/>
                <w:szCs w:val="20"/>
              </w:rPr>
              <w:t>fiscal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 redistributiva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financiarían obras públicas descentralizadas, consensadas, con mínimos requerimientos de energéticos y bajos costos de realización y mantenimiento: restauración de cuencas y acuíferos; prevención de fugas y ahorro; aprovechamiento aguas pluviales y residuales; auto-abasto. .</w:t>
            </w:r>
          </w:p>
        </w:tc>
        <w:tc>
          <w:tcPr>
            <w:tcW w:w="3540" w:type="dxa"/>
            <w:shd w:val="clear" w:color="auto" w:fill="auto"/>
          </w:tcPr>
          <w:p w:rsidR="00C5688B" w:rsidRPr="00662436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servicio de agua tendría fines de lucro. Acceso al líquido según capacidad de pago.  </w:t>
            </w:r>
          </w:p>
          <w:p w:rsidR="00C5688B" w:rsidRPr="00662436" w:rsidRDefault="00C5688B" w:rsidP="00FA1797">
            <w:pPr>
              <w:pStyle w:val="Articulo"/>
              <w:numPr>
                <w:ilvl w:val="0"/>
                <w:numId w:val="0"/>
              </w:numPr>
              <w:spacing w:before="120" w:after="0"/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presupuestos públicos y las tarifas tendrían que cubrir financiamiento, costos de operación (incluyendo uso intensivo de energéticos) y utilidades para actuales y futuras grandes obras hidráulicas sin mecanismos para controlar costos. 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Pr="007964C7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de los sistemas de agua potable y saneamento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Comunitarios autogestionados o m</w:t>
            </w:r>
            <w:r w:rsidRPr="007964C7">
              <w:rPr>
                <w:rFonts w:ascii="Arial" w:hAnsi="Arial" w:cs="Arial"/>
                <w:sz w:val="20"/>
                <w:szCs w:val="20"/>
              </w:rPr>
              <w:t>unicipales ciudadanizados</w:t>
            </w:r>
            <w:r>
              <w:rPr>
                <w:rFonts w:ascii="Arial" w:hAnsi="Arial" w:cs="Arial"/>
                <w:sz w:val="20"/>
                <w:szCs w:val="20"/>
              </w:rPr>
              <w:t xml:space="preserve"> bajo un consejo de administración compuesto de representantes territoriales.</w:t>
            </w:r>
          </w:p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Ambos esquemas sin fines de lucro y con requisitos de democracia interna, transparencia y rendición de cuentas.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62436">
              <w:rPr>
                <w:rFonts w:ascii="Arial" w:hAnsi="Arial" w:cs="Arial"/>
                <w:sz w:val="20"/>
                <w:szCs w:val="20"/>
              </w:rPr>
              <w:t>Preferentemente metropolitanos o intermunicipales</w:t>
            </w:r>
            <w:r>
              <w:rPr>
                <w:rFonts w:ascii="Arial" w:hAnsi="Arial" w:cs="Arial"/>
                <w:sz w:val="20"/>
                <w:szCs w:val="20"/>
              </w:rPr>
              <w:t>, con incentivos y presiones para su privatización vía un Programa Nacional de Coordinación para el Agua Potable y Saneamiento, via convenios a ser firmados entre Conagua y legislaturas estatales</w:t>
            </w:r>
            <w:r w:rsidRPr="006624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688B" w:rsidRPr="00662436" w:rsidRDefault="00C5688B" w:rsidP="00715E6E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estado puede tomar control sobre un sistema municipal o comunitario y asignarlo a una empresa privada.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Acceso equitativo a agua potable</w:t>
            </w:r>
          </w:p>
        </w:tc>
        <w:tc>
          <w:tcPr>
            <w:tcW w:w="3563" w:type="dxa"/>
            <w:shd w:val="clear" w:color="auto" w:fill="auto"/>
          </w:tcPr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Distribución equitativa de agua potable, monitoreada con macromedidores, solo para uso doméstico y servicios públicos (otros usos adquirirían concesiones). 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15E6E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Mayores dotaciones a usuarios con mayor capacidad de pago (industriales y residenciales), garantizando un mínimo para poblaciones vulnerables. </w:t>
            </w:r>
          </w:p>
          <w:p w:rsidR="00C5688B" w:rsidRPr="00662436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Tarifas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Tarifas acordadas por Asamblea de Usuarios </w:t>
            </w:r>
            <w:r w:rsidRPr="00662436">
              <w:rPr>
                <w:rFonts w:ascii="Arial" w:hAnsi="Arial" w:cs="Arial"/>
                <w:sz w:val="20"/>
                <w:szCs w:val="20"/>
              </w:rPr>
              <w:t>de cada servicio de agua potable y saneamiento (SAPAS)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informes de gastos y presupuesto aprobado, ajustado según valor del predial.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15E6E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tarifas serían determinadas por l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egislaturas estatales, </w:t>
            </w:r>
            <w:r>
              <w:rPr>
                <w:rFonts w:ascii="Arial" w:hAnsi="Arial" w:cs="Arial"/>
                <w:sz w:val="20"/>
                <w:szCs w:val="20"/>
              </w:rPr>
              <w:t>garantizando cubrir costos actuales, de infraestructura futura, y utilidades, con ajustes anuales obligatorios.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Pr="00662436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Prevención de daños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62436">
              <w:rPr>
                <w:rFonts w:ascii="Arial" w:hAnsi="Arial" w:cs="Arial"/>
                <w:sz w:val="20"/>
                <w:szCs w:val="20"/>
              </w:rPr>
              <w:t>Toda obra</w:t>
            </w:r>
            <w:r>
              <w:rPr>
                <w:rFonts w:ascii="Arial" w:hAnsi="Arial" w:cs="Arial"/>
                <w:sz w:val="20"/>
                <w:szCs w:val="20"/>
              </w:rPr>
              <w:t>, actividad</w:t>
            </w:r>
            <w:r w:rsidRPr="00662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concesión </w:t>
            </w:r>
            <w:r w:rsidRPr="00662436">
              <w:rPr>
                <w:rFonts w:ascii="Arial" w:hAnsi="Arial" w:cs="Arial"/>
                <w:sz w:val="20"/>
                <w:szCs w:val="20"/>
              </w:rPr>
              <w:t>en una cuenca tendría que demostrar no ser dañino para el ciclo del agua</w:t>
            </w:r>
            <w:r>
              <w:rPr>
                <w:rFonts w:ascii="Arial" w:hAnsi="Arial" w:cs="Arial"/>
                <w:sz w:val="20"/>
                <w:szCs w:val="20"/>
              </w:rPr>
              <w:t xml:space="preserve"> vía un Dictamen de Impacto Sociohídrico, realizado por un panel de especialistas sin conflictos de interés, y contando con consentimiento libre e informado de pueblos originarios y a nivel microcuenca y cuenca.</w:t>
            </w:r>
          </w:p>
          <w:p w:rsidR="00C5688B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Planes Rectores designarían “Areas de Importancia Hídricoambiental” (humedales, zonas ribereñas, planicies de inundación, zonas de recarga) en donde habrán planes de manejo y severas restricciones a los usos del suelo.</w:t>
            </w:r>
          </w:p>
          <w:p w:rsidR="00C5688B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permitía uso del agua para “fracking”, minería tóxica ni el empleo de sustancias tóxicas industriales o agroquímicos.</w:t>
            </w:r>
          </w:p>
          <w:p w:rsidR="00C5688B" w:rsidRPr="00662436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Consejos de Cuenca podrían declarar sus cuencas en “extremo estrés hídrico” si sufren de más de dos de los siguientes fenómenos: crónicas inundaciones, crónica escasez, severos hundimientos y grietas, agua fósil o severamente contaminado, lo cual implicaría suspensión de autorizaciones para proyectos de urbanización hasta resolver las crisis.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permitiría concesionamiente de aguas nacionales para la fracturación hidráulica (extracción de gas y petróleo vía destrucción y contaminación de acuíferos) y la geotermia, sin requerir evaluaciones de impacto ambiental; </w:t>
            </w:r>
          </w:p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se requieren de evaluaciones de impacto ambiental para trasvases, desalinizadores, pozos ultraprofundos, geotermia, ni fracturación hidráulica (extracción de gas vía destrucción y contaminación de acuíferos). </w:t>
            </w:r>
          </w:p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asignación de responsabilidades ni sanciones efectivas para prevenir la contaminación de aguas por actividades agropecuarias e industriales (se conserva actual sistema inefectivo de la LAN y LGEEPA).  </w:t>
            </w:r>
          </w:p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Pr="00662436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Monitoreo e inspección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62436">
              <w:rPr>
                <w:rFonts w:ascii="Arial" w:hAnsi="Arial" w:cs="Arial"/>
                <w:sz w:val="20"/>
                <w:szCs w:val="20"/>
              </w:rPr>
              <w:t>Contraloría Social del Agua 100% ciudadana</w:t>
            </w:r>
            <w:r>
              <w:rPr>
                <w:rFonts w:ascii="Arial" w:hAnsi="Arial" w:cs="Arial"/>
                <w:sz w:val="20"/>
                <w:szCs w:val="20"/>
              </w:rPr>
              <w:t>, auto-organizada a nivel municipal, de cuenca y nacional, financiado con una cuota aplicada a los concesionarios, vigilaría frente a daños ambientales, contaminación y cumplimiento con derecho humano al agua</w:t>
            </w:r>
            <w:r w:rsidRPr="006624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Puntos de descarga tendrán que ser de acceso público y permanente.</w:t>
            </w:r>
          </w:p>
          <w:p w:rsidR="00C5688B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Medición en tiempo real, disponible en internet, de volúmenes de entrada y salida de concesionarios, como requisito para su concesión anual. </w:t>
            </w:r>
          </w:p>
          <w:p w:rsidR="00C5688B" w:rsidRPr="00662436" w:rsidRDefault="00C5688B" w:rsidP="007D70C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Defensoría Socio hídricoambiental, financiada por cuotas a concesionarios, presentaría demandas de acción colectiva y en defensa del ambiente.</w:t>
            </w:r>
          </w:p>
        </w:tc>
        <w:tc>
          <w:tcPr>
            <w:tcW w:w="3540" w:type="dxa"/>
            <w:shd w:val="clear" w:color="auto" w:fill="auto"/>
          </w:tcPr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ciudadanía es responsable por reportar irregularidades y el gobierno (sin asignar responsabilidades específicas), por dar seguimiento (LGA-K). </w:t>
            </w:r>
          </w:p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y la Conagua, exclusivamente, monitorearían por posible contaminación de fuentes de agua.</w:t>
            </w:r>
          </w:p>
          <w:p w:rsidR="00C5688B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Seguirá el gradual proceso de lograr medidores para los grandes concesionarios. (LAN)</w:t>
            </w:r>
          </w:p>
          <w:p w:rsidR="00C5688B" w:rsidRPr="00662436" w:rsidRDefault="00C5688B" w:rsidP="00703A74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Ciudadanos pueden presentar denuncias a la Profepa, pero reportes de inspecciones no son públicos. (LAN, LGEEPA)</w:t>
            </w:r>
          </w:p>
        </w:tc>
      </w:tr>
      <w:tr w:rsidR="00C5688B" w:rsidRPr="00662436" w:rsidTr="009C79D0">
        <w:tc>
          <w:tcPr>
            <w:tcW w:w="1951" w:type="dxa"/>
            <w:shd w:val="clear" w:color="auto" w:fill="auto"/>
          </w:tcPr>
          <w:p w:rsidR="00C5688B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Sanciones</w:t>
            </w:r>
          </w:p>
        </w:tc>
        <w:tc>
          <w:tcPr>
            <w:tcW w:w="3563" w:type="dxa"/>
            <w:shd w:val="clear" w:color="auto" w:fill="auto"/>
          </w:tcPr>
          <w:p w:rsidR="00C5688B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Concesionarios del agua perderían su concesión si utilizan sustancias tóxicas o violan los términos de sus concesiones anuales.</w:t>
            </w:r>
          </w:p>
          <w:p w:rsidR="00C5688B" w:rsidRPr="00662436" w:rsidRDefault="00C5688B" w:rsidP="007D70C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62436">
              <w:rPr>
                <w:rFonts w:ascii="Arial" w:hAnsi="Arial" w:cs="Arial"/>
                <w:sz w:val="20"/>
                <w:szCs w:val="20"/>
              </w:rPr>
              <w:t>Remoción del cargo y aplicación de sanciones civiles y penales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funcionarios que incumplen</w:t>
            </w:r>
            <w:r w:rsidRPr="006624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:rsidR="00C5688B" w:rsidRPr="00662436" w:rsidRDefault="00C5688B" w:rsidP="00703A74">
            <w:pPr>
              <w:spacing w:before="12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</w:t>
            </w:r>
            <w:r w:rsidRPr="00662436">
              <w:rPr>
                <w:rFonts w:ascii="Arial" w:hAnsi="Arial" w:cs="Arial"/>
                <w:sz w:val="20"/>
                <w:szCs w:val="20"/>
              </w:rPr>
              <w:t>as autoridades legislativas de la federación, estados y Distrito Federal deben emitir normatividad” para sancionar a funcionarios públicos y prestadores de servicios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incumplen</w:t>
            </w:r>
            <w:r w:rsidRPr="006624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B5B64" w:rsidRDefault="007B5B64" w:rsidP="00026D6B"/>
    <w:sectPr w:rsidR="007B5B64" w:rsidSect="00C5688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77" w:rsidRDefault="007B6277" w:rsidP="00C5688B">
      <w:pPr>
        <w:spacing w:after="0" w:line="240" w:lineRule="auto"/>
      </w:pPr>
      <w:r>
        <w:separator/>
      </w:r>
    </w:p>
  </w:endnote>
  <w:endnote w:type="continuationSeparator" w:id="1">
    <w:p w:rsidR="007B6277" w:rsidRDefault="007B6277" w:rsidP="00C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8B" w:rsidRDefault="00C5688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3.2pt;margin-top:0;width:399.45pt;height:34.8pt;z-index:251660288" filled="f" stroked="f">
          <v:textbox style="mso-fit-shape-to-text:t">
            <w:txbxContent>
              <w:p w:rsidR="00C5688B" w:rsidRDefault="00C5688B" w:rsidP="00C5688B">
                <w:pPr>
                  <w:pStyle w:val="Piedepgina"/>
                  <w:jc w:val="center"/>
                </w:pPr>
                <w:r>
                  <w:t xml:space="preserve">Agua para Tod@s, Agua para la Vida  </w:t>
                </w:r>
              </w:p>
              <w:p w:rsidR="00C5688B" w:rsidRPr="00C5688B" w:rsidRDefault="00C5688B" w:rsidP="00C5688B">
                <w:pPr>
                  <w:pStyle w:val="Piedepgina"/>
                  <w:jc w:val="center"/>
                  <w:rPr>
                    <w:noProof/>
                    <w:color w:val="000000" w:themeColor="text1"/>
                  </w:rPr>
                </w:pPr>
                <w:hyperlink r:id="rId1" w:history="1">
                  <w:r w:rsidRPr="00C5688B">
                    <w:rPr>
                      <w:rStyle w:val="Hipervnculo"/>
                      <w:color w:val="000000" w:themeColor="text1"/>
                    </w:rPr>
                    <w:t>aguaparatodosmexico@gmail.com</w:t>
                  </w:r>
                </w:hyperlink>
                <w:r w:rsidRPr="00C5688B">
                  <w:rPr>
                    <w:color w:val="000000" w:themeColor="text1"/>
                  </w:rPr>
                  <w:t xml:space="preserve"> www.aguaparatodos.org.mx</w:t>
                </w:r>
              </w:p>
            </w:txbxContent>
          </v:textbox>
          <w10:wrap type="square"/>
        </v:shape>
      </w:pict>
    </w:r>
    <w:r>
      <w:rPr>
        <w:noProof/>
      </w:rPr>
      <w:drawing>
        <wp:inline distT="0" distB="0" distL="0" distR="0">
          <wp:extent cx="295275" cy="451851"/>
          <wp:effectExtent l="19050" t="0" r="9525" b="0"/>
          <wp:docPr id="1" name="0 Imagen" descr="Logo editable Agua para Todos, Agua para la V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able Agua para Todos, Agua para la Vi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055" cy="45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77" w:rsidRDefault="007B6277" w:rsidP="00C5688B">
      <w:pPr>
        <w:spacing w:after="0" w:line="240" w:lineRule="auto"/>
      </w:pPr>
      <w:r>
        <w:separator/>
      </w:r>
    </w:p>
  </w:footnote>
  <w:footnote w:type="continuationSeparator" w:id="1">
    <w:p w:rsidR="007B6277" w:rsidRDefault="007B6277" w:rsidP="00C5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21F0"/>
    <w:multiLevelType w:val="hybridMultilevel"/>
    <w:tmpl w:val="30C0C412"/>
    <w:lvl w:ilvl="0" w:tplc="706EC93C">
      <w:start w:val="1"/>
      <w:numFmt w:val="decimal"/>
      <w:pStyle w:val="Articulo"/>
      <w:lvlText w:val="Artículo %1.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D702C"/>
    <w:rsid w:val="00026D6B"/>
    <w:rsid w:val="00094033"/>
    <w:rsid w:val="00094D79"/>
    <w:rsid w:val="00126870"/>
    <w:rsid w:val="00236C5D"/>
    <w:rsid w:val="002D702C"/>
    <w:rsid w:val="003430B5"/>
    <w:rsid w:val="00483777"/>
    <w:rsid w:val="0065377A"/>
    <w:rsid w:val="00715E6E"/>
    <w:rsid w:val="007B5B64"/>
    <w:rsid w:val="007B6277"/>
    <w:rsid w:val="00831B1A"/>
    <w:rsid w:val="009C79D0"/>
    <w:rsid w:val="00A54879"/>
    <w:rsid w:val="00C5688B"/>
    <w:rsid w:val="00D04111"/>
    <w:rsid w:val="00D61DFC"/>
    <w:rsid w:val="00D971BE"/>
    <w:rsid w:val="00EE5AAB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2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ulo">
    <w:name w:val="Articulo"/>
    <w:basedOn w:val="Normal"/>
    <w:qFormat/>
    <w:rsid w:val="002D702C"/>
    <w:pPr>
      <w:numPr>
        <w:numId w:val="1"/>
      </w:numPr>
      <w:spacing w:before="360" w:after="360" w:line="240" w:lineRule="auto"/>
      <w:ind w:left="0" w:firstLine="0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88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56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88B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C568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88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guaparatodosmex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1363</Words>
  <Characters>7419</Characters>
  <Application>Microsoft Office Word</Application>
  <DocSecurity>0</DocSecurity>
  <Lines>121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2014-04-16T22:59:00Z</dcterms:created>
  <dcterms:modified xsi:type="dcterms:W3CDTF">2014-04-16T23:10:00Z</dcterms:modified>
</cp:coreProperties>
</file>